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5372E091" w:rsidR="00000B0B" w:rsidRDefault="00000B0B" w:rsidP="00A32153">
      <w:pPr>
        <w:rPr>
          <w:b/>
          <w:bCs/>
          <w:u w:val="single"/>
        </w:rPr>
      </w:pPr>
    </w:p>
    <w:p w14:paraId="791E08F8" w14:textId="77939F65" w:rsidR="004C422A" w:rsidRDefault="004C422A" w:rsidP="004C422A">
      <w:pPr>
        <w:jc w:val="center"/>
        <w:rPr>
          <w:rStyle w:val="normaltextrun"/>
          <w:b/>
          <w:bCs/>
          <w:color w:val="000000"/>
          <w:bdr w:val="none" w:sz="0" w:space="0" w:color="auto" w:frame="1"/>
        </w:rPr>
      </w:pPr>
      <w:r>
        <w:rPr>
          <w:rStyle w:val="normaltextrun"/>
          <w:b/>
          <w:bCs/>
          <w:color w:val="000000"/>
          <w:bdr w:val="none" w:sz="0" w:space="0" w:color="auto" w:frame="1"/>
        </w:rPr>
        <w:t>Core Concept: Opportunity Scoring Report</w:t>
      </w:r>
    </w:p>
    <w:tbl>
      <w:tblPr>
        <w:tblW w:w="1098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87"/>
      </w:tblGrid>
      <w:tr w:rsidR="004C422A" w:rsidRPr="004C422A" w14:paraId="3726E843" w14:textId="77777777" w:rsidTr="004C422A">
        <w:tc>
          <w:tcPr>
            <w:tcW w:w="10987" w:type="dxa"/>
            <w:tcBorders>
              <w:top w:val="single" w:sz="6" w:space="0" w:color="auto"/>
              <w:left w:val="single" w:sz="6" w:space="0" w:color="auto"/>
              <w:bottom w:val="single" w:sz="6" w:space="0" w:color="auto"/>
              <w:right w:val="single" w:sz="6" w:space="0" w:color="auto"/>
            </w:tcBorders>
            <w:shd w:val="clear" w:color="auto" w:fill="auto"/>
            <w:hideMark/>
          </w:tcPr>
          <w:p w14:paraId="21258332" w14:textId="77777777" w:rsidR="004C422A" w:rsidRPr="004C422A" w:rsidRDefault="004C422A" w:rsidP="004C422A">
            <w:pPr>
              <w:spacing w:after="0" w:line="240" w:lineRule="auto"/>
              <w:textAlignment w:val="baseline"/>
              <w:rPr>
                <w:rFonts w:ascii="Segoe UI" w:eastAsia="Times New Roman" w:hAnsi="Segoe UI" w:cs="Segoe UI"/>
                <w:sz w:val="18"/>
                <w:szCs w:val="18"/>
              </w:rPr>
            </w:pPr>
            <w:r w:rsidRPr="004C422A">
              <w:rPr>
                <w:rFonts w:eastAsia="Times New Roman"/>
              </w:rPr>
              <w:t>Script </w:t>
            </w:r>
          </w:p>
        </w:tc>
      </w:tr>
      <w:tr w:rsidR="004C422A" w:rsidRPr="004C422A" w14:paraId="73D7B77F" w14:textId="77777777" w:rsidTr="004C422A">
        <w:tc>
          <w:tcPr>
            <w:tcW w:w="10987" w:type="dxa"/>
            <w:tcBorders>
              <w:top w:val="nil"/>
              <w:left w:val="single" w:sz="6" w:space="0" w:color="auto"/>
              <w:bottom w:val="single" w:sz="6" w:space="0" w:color="auto"/>
              <w:right w:val="single" w:sz="6" w:space="0" w:color="auto"/>
            </w:tcBorders>
            <w:shd w:val="clear" w:color="auto" w:fill="auto"/>
            <w:hideMark/>
          </w:tcPr>
          <w:p w14:paraId="6AA916AC" w14:textId="77777777" w:rsidR="004C422A" w:rsidRPr="004C422A" w:rsidRDefault="004C422A" w:rsidP="004C422A">
            <w:pPr>
              <w:spacing w:after="0" w:line="240" w:lineRule="auto"/>
              <w:textAlignment w:val="baseline"/>
              <w:rPr>
                <w:rFonts w:ascii="Segoe UI" w:eastAsia="Times New Roman" w:hAnsi="Segoe UI" w:cs="Segoe UI"/>
                <w:sz w:val="18"/>
                <w:szCs w:val="18"/>
              </w:rPr>
            </w:pPr>
            <w:r w:rsidRPr="004C422A">
              <w:rPr>
                <w:rFonts w:eastAsia="Times New Roman"/>
              </w:rPr>
              <w:t>Welcome to the AmpliFund Core Concept video focused on the Opportunity Scoring Report. </w:t>
            </w:r>
          </w:p>
        </w:tc>
      </w:tr>
      <w:tr w:rsidR="004C422A" w:rsidRPr="004C422A" w14:paraId="755B1E74" w14:textId="77777777" w:rsidTr="004C422A">
        <w:tc>
          <w:tcPr>
            <w:tcW w:w="10987" w:type="dxa"/>
            <w:tcBorders>
              <w:top w:val="nil"/>
              <w:left w:val="single" w:sz="6" w:space="0" w:color="auto"/>
              <w:bottom w:val="single" w:sz="6" w:space="0" w:color="auto"/>
              <w:right w:val="single" w:sz="6" w:space="0" w:color="auto"/>
            </w:tcBorders>
            <w:shd w:val="clear" w:color="auto" w:fill="auto"/>
            <w:hideMark/>
          </w:tcPr>
          <w:p w14:paraId="35A77C5F" w14:textId="77777777" w:rsidR="004C422A" w:rsidRPr="004C422A" w:rsidRDefault="004C422A" w:rsidP="004C422A">
            <w:pPr>
              <w:spacing w:after="0" w:line="240" w:lineRule="auto"/>
              <w:textAlignment w:val="baseline"/>
              <w:rPr>
                <w:rFonts w:ascii="Segoe UI" w:eastAsia="Times New Roman" w:hAnsi="Segoe UI" w:cs="Segoe UI"/>
                <w:sz w:val="18"/>
                <w:szCs w:val="18"/>
              </w:rPr>
            </w:pPr>
            <w:r w:rsidRPr="004C422A">
              <w:rPr>
                <w:rFonts w:eastAsia="Times New Roman"/>
              </w:rPr>
              <w:t>The opportunity scoring report features the ability to see an </w:t>
            </w:r>
            <w:proofErr w:type="spellStart"/>
            <w:proofErr w:type="gramStart"/>
            <w:r w:rsidRPr="004C422A">
              <w:rPr>
                <w:rFonts w:eastAsia="Times New Roman"/>
              </w:rPr>
              <w:t>applicants</w:t>
            </w:r>
            <w:proofErr w:type="spellEnd"/>
            <w:proofErr w:type="gramEnd"/>
            <w:r w:rsidRPr="004C422A">
              <w:rPr>
                <w:rFonts w:eastAsia="Times New Roman"/>
              </w:rPr>
              <w:t> average score across reviewers, dive into reviewer scoring details and comments including seeing scores by question and category. </w:t>
            </w:r>
          </w:p>
        </w:tc>
      </w:tr>
      <w:tr w:rsidR="004C422A" w:rsidRPr="004C422A" w14:paraId="3F977560" w14:textId="77777777" w:rsidTr="004C422A">
        <w:tc>
          <w:tcPr>
            <w:tcW w:w="10987" w:type="dxa"/>
            <w:tcBorders>
              <w:top w:val="nil"/>
              <w:left w:val="single" w:sz="6" w:space="0" w:color="auto"/>
              <w:bottom w:val="single" w:sz="6" w:space="0" w:color="auto"/>
              <w:right w:val="single" w:sz="6" w:space="0" w:color="auto"/>
            </w:tcBorders>
            <w:shd w:val="clear" w:color="auto" w:fill="auto"/>
            <w:hideMark/>
          </w:tcPr>
          <w:p w14:paraId="43AC2F18" w14:textId="77777777" w:rsidR="004C422A" w:rsidRPr="004C422A" w:rsidRDefault="004C422A" w:rsidP="004C422A">
            <w:pPr>
              <w:spacing w:after="0" w:line="240" w:lineRule="auto"/>
              <w:textAlignment w:val="baseline"/>
              <w:rPr>
                <w:rFonts w:ascii="Segoe UI" w:eastAsia="Times New Roman" w:hAnsi="Segoe UI" w:cs="Segoe UI"/>
                <w:sz w:val="18"/>
                <w:szCs w:val="18"/>
              </w:rPr>
            </w:pPr>
            <w:r w:rsidRPr="004C422A">
              <w:rPr>
                <w:rFonts w:eastAsia="Times New Roman"/>
              </w:rPr>
              <w:t>To access the opportunity scoring report, you can click on reports from the calendar. </w:t>
            </w:r>
          </w:p>
        </w:tc>
      </w:tr>
      <w:tr w:rsidR="004C422A" w:rsidRPr="004C422A" w14:paraId="06AEA4C6" w14:textId="77777777" w:rsidTr="004C422A">
        <w:tc>
          <w:tcPr>
            <w:tcW w:w="10987" w:type="dxa"/>
            <w:tcBorders>
              <w:top w:val="nil"/>
              <w:left w:val="single" w:sz="6" w:space="0" w:color="auto"/>
              <w:bottom w:val="single" w:sz="6" w:space="0" w:color="auto"/>
              <w:right w:val="single" w:sz="6" w:space="0" w:color="auto"/>
            </w:tcBorders>
            <w:shd w:val="clear" w:color="auto" w:fill="auto"/>
            <w:hideMark/>
          </w:tcPr>
          <w:p w14:paraId="307EAC8F" w14:textId="77777777" w:rsidR="004C422A" w:rsidRPr="004C422A" w:rsidRDefault="004C422A" w:rsidP="004C422A">
            <w:pPr>
              <w:spacing w:after="0" w:line="240" w:lineRule="auto"/>
              <w:textAlignment w:val="baseline"/>
              <w:rPr>
                <w:rFonts w:ascii="Segoe UI" w:eastAsia="Times New Roman" w:hAnsi="Segoe UI" w:cs="Segoe UI"/>
                <w:sz w:val="18"/>
                <w:szCs w:val="18"/>
              </w:rPr>
            </w:pPr>
            <w:r w:rsidRPr="004C422A">
              <w:rPr>
                <w:rFonts w:eastAsia="Times New Roman"/>
              </w:rPr>
              <w:t>Then click on the caret for Fund and Opportunity, then click on the Opportunity Scoring Report. </w:t>
            </w:r>
          </w:p>
        </w:tc>
      </w:tr>
      <w:tr w:rsidR="004C422A" w:rsidRPr="004C422A" w14:paraId="4B6F29BE" w14:textId="77777777" w:rsidTr="004C422A">
        <w:tc>
          <w:tcPr>
            <w:tcW w:w="10987" w:type="dxa"/>
            <w:tcBorders>
              <w:top w:val="nil"/>
              <w:left w:val="single" w:sz="6" w:space="0" w:color="auto"/>
              <w:bottom w:val="single" w:sz="6" w:space="0" w:color="auto"/>
              <w:right w:val="single" w:sz="6" w:space="0" w:color="auto"/>
            </w:tcBorders>
            <w:shd w:val="clear" w:color="auto" w:fill="auto"/>
            <w:hideMark/>
          </w:tcPr>
          <w:p w14:paraId="74F3E398" w14:textId="77777777" w:rsidR="004C422A" w:rsidRPr="004C422A" w:rsidRDefault="004C422A" w:rsidP="004C422A">
            <w:pPr>
              <w:spacing w:after="0" w:line="240" w:lineRule="auto"/>
              <w:textAlignment w:val="baseline"/>
              <w:rPr>
                <w:rFonts w:ascii="Segoe UI" w:eastAsia="Times New Roman" w:hAnsi="Segoe UI" w:cs="Segoe UI"/>
                <w:sz w:val="18"/>
                <w:szCs w:val="18"/>
              </w:rPr>
            </w:pPr>
            <w:r w:rsidRPr="004C422A">
              <w:rPr>
                <w:rFonts w:eastAsia="Times New Roman"/>
              </w:rPr>
              <w:t>That will take you to the opportunity scoring report to review scoring details. </w:t>
            </w:r>
          </w:p>
        </w:tc>
      </w:tr>
      <w:tr w:rsidR="004C422A" w:rsidRPr="004C422A" w14:paraId="7BEF01B7" w14:textId="77777777" w:rsidTr="004C422A">
        <w:tc>
          <w:tcPr>
            <w:tcW w:w="10987" w:type="dxa"/>
            <w:tcBorders>
              <w:top w:val="nil"/>
              <w:left w:val="single" w:sz="6" w:space="0" w:color="auto"/>
              <w:bottom w:val="single" w:sz="6" w:space="0" w:color="auto"/>
              <w:right w:val="single" w:sz="6" w:space="0" w:color="auto"/>
            </w:tcBorders>
            <w:shd w:val="clear" w:color="auto" w:fill="auto"/>
            <w:hideMark/>
          </w:tcPr>
          <w:p w14:paraId="02A12AAE" w14:textId="77777777" w:rsidR="004C422A" w:rsidRPr="004C422A" w:rsidRDefault="004C422A" w:rsidP="004C422A">
            <w:pPr>
              <w:spacing w:after="0" w:line="240" w:lineRule="auto"/>
              <w:textAlignment w:val="baseline"/>
              <w:rPr>
                <w:rFonts w:ascii="Segoe UI" w:eastAsia="Times New Roman" w:hAnsi="Segoe UI" w:cs="Segoe UI"/>
                <w:sz w:val="18"/>
                <w:szCs w:val="18"/>
              </w:rPr>
            </w:pPr>
            <w:r w:rsidRPr="004C422A">
              <w:rPr>
                <w:rFonts w:eastAsia="Times New Roman"/>
              </w:rPr>
              <w:t>On the right side of the report, you can use the arrows to scroll through applicants. </w:t>
            </w:r>
          </w:p>
        </w:tc>
      </w:tr>
      <w:tr w:rsidR="004C422A" w:rsidRPr="004C422A" w14:paraId="79A7EE3B" w14:textId="77777777" w:rsidTr="004C422A">
        <w:tc>
          <w:tcPr>
            <w:tcW w:w="10987" w:type="dxa"/>
            <w:tcBorders>
              <w:top w:val="nil"/>
              <w:left w:val="single" w:sz="6" w:space="0" w:color="auto"/>
              <w:bottom w:val="single" w:sz="6" w:space="0" w:color="auto"/>
              <w:right w:val="single" w:sz="6" w:space="0" w:color="auto"/>
            </w:tcBorders>
            <w:shd w:val="clear" w:color="auto" w:fill="auto"/>
            <w:hideMark/>
          </w:tcPr>
          <w:p w14:paraId="1B21C5A4" w14:textId="77777777" w:rsidR="004C422A" w:rsidRPr="004C422A" w:rsidRDefault="004C422A" w:rsidP="004C422A">
            <w:pPr>
              <w:spacing w:after="0" w:line="240" w:lineRule="auto"/>
              <w:textAlignment w:val="baseline"/>
              <w:rPr>
                <w:rFonts w:ascii="Segoe UI" w:eastAsia="Times New Roman" w:hAnsi="Segoe UI" w:cs="Segoe UI"/>
                <w:sz w:val="18"/>
                <w:szCs w:val="18"/>
              </w:rPr>
            </w:pPr>
            <w:r w:rsidRPr="004C422A">
              <w:rPr>
                <w:rFonts w:eastAsia="Times New Roman"/>
              </w:rPr>
              <w:t>You can also use the opportunity drop down to narrow results to a specific opportunity, then </w:t>
            </w:r>
            <w:proofErr w:type="gramStart"/>
            <w:r w:rsidRPr="004C422A">
              <w:rPr>
                <w:rFonts w:eastAsia="Times New Roman"/>
              </w:rPr>
              <w:t>you’d</w:t>
            </w:r>
            <w:proofErr w:type="gramEnd"/>
            <w:r w:rsidRPr="004C422A">
              <w:rPr>
                <w:rFonts w:eastAsia="Times New Roman"/>
              </w:rPr>
              <w:t> only see applicants for that opportunity.  You can also use the filter option to add the ability to filter by applicant or reviewer. </w:t>
            </w:r>
          </w:p>
        </w:tc>
      </w:tr>
      <w:tr w:rsidR="004C422A" w:rsidRPr="004C422A" w14:paraId="3EFBF5A7" w14:textId="77777777" w:rsidTr="004C422A">
        <w:tc>
          <w:tcPr>
            <w:tcW w:w="10987" w:type="dxa"/>
            <w:tcBorders>
              <w:top w:val="nil"/>
              <w:left w:val="single" w:sz="6" w:space="0" w:color="auto"/>
              <w:bottom w:val="single" w:sz="6" w:space="0" w:color="auto"/>
              <w:right w:val="single" w:sz="6" w:space="0" w:color="auto"/>
            </w:tcBorders>
            <w:shd w:val="clear" w:color="auto" w:fill="auto"/>
            <w:hideMark/>
          </w:tcPr>
          <w:p w14:paraId="3A6B3C7A" w14:textId="77777777" w:rsidR="004C422A" w:rsidRPr="004C422A" w:rsidRDefault="004C422A" w:rsidP="004C422A">
            <w:pPr>
              <w:spacing w:after="0" w:line="240" w:lineRule="auto"/>
              <w:textAlignment w:val="baseline"/>
              <w:rPr>
                <w:rFonts w:ascii="Segoe UI" w:eastAsia="Times New Roman" w:hAnsi="Segoe UI" w:cs="Segoe UI"/>
                <w:sz w:val="18"/>
                <w:szCs w:val="18"/>
              </w:rPr>
            </w:pPr>
            <w:r w:rsidRPr="004C422A">
              <w:rPr>
                <w:rFonts w:eastAsia="Times New Roman"/>
              </w:rPr>
              <w:t>The top of the report includes the ability to see applicant details including the name, amount requested and their average score of the entire application. </w:t>
            </w:r>
          </w:p>
        </w:tc>
      </w:tr>
      <w:tr w:rsidR="004C422A" w:rsidRPr="004C422A" w14:paraId="598F2D21" w14:textId="77777777" w:rsidTr="004C422A">
        <w:tc>
          <w:tcPr>
            <w:tcW w:w="10987" w:type="dxa"/>
            <w:tcBorders>
              <w:top w:val="nil"/>
              <w:left w:val="single" w:sz="6" w:space="0" w:color="auto"/>
              <w:bottom w:val="single" w:sz="6" w:space="0" w:color="auto"/>
              <w:right w:val="single" w:sz="6" w:space="0" w:color="auto"/>
            </w:tcBorders>
            <w:shd w:val="clear" w:color="auto" w:fill="auto"/>
            <w:hideMark/>
          </w:tcPr>
          <w:p w14:paraId="630BDFA2" w14:textId="77777777" w:rsidR="004C422A" w:rsidRPr="004C422A" w:rsidRDefault="004C422A" w:rsidP="004C422A">
            <w:pPr>
              <w:spacing w:after="0" w:line="240" w:lineRule="auto"/>
              <w:textAlignment w:val="baseline"/>
              <w:rPr>
                <w:rFonts w:ascii="Segoe UI" w:eastAsia="Times New Roman" w:hAnsi="Segoe UI" w:cs="Segoe UI"/>
                <w:sz w:val="18"/>
                <w:szCs w:val="18"/>
              </w:rPr>
            </w:pPr>
            <w:r w:rsidRPr="004C422A">
              <w:rPr>
                <w:rFonts w:eastAsia="Times New Roman"/>
              </w:rPr>
              <w:t>Next to each reviewers name you can see the score details, you can expand the reviewer section to see their final comments and their score per question, there’s also a column available to see the scoring category.  Note that reviewer comments on individual questions do not appear here but can be found on the application scorecard.  On this single page you can see all reviewers results by expanding the details. </w:t>
            </w:r>
          </w:p>
        </w:tc>
      </w:tr>
      <w:tr w:rsidR="004C422A" w:rsidRPr="004C422A" w14:paraId="31485E12" w14:textId="77777777" w:rsidTr="004C422A">
        <w:tc>
          <w:tcPr>
            <w:tcW w:w="10987" w:type="dxa"/>
            <w:tcBorders>
              <w:top w:val="nil"/>
              <w:left w:val="single" w:sz="6" w:space="0" w:color="auto"/>
              <w:bottom w:val="single" w:sz="6" w:space="0" w:color="auto"/>
              <w:right w:val="single" w:sz="6" w:space="0" w:color="auto"/>
            </w:tcBorders>
            <w:shd w:val="clear" w:color="auto" w:fill="auto"/>
            <w:hideMark/>
          </w:tcPr>
          <w:p w14:paraId="64C33EAD" w14:textId="77777777" w:rsidR="004C422A" w:rsidRPr="004C422A" w:rsidRDefault="004C422A" w:rsidP="004C422A">
            <w:pPr>
              <w:spacing w:after="0" w:line="240" w:lineRule="auto"/>
              <w:textAlignment w:val="baseline"/>
              <w:rPr>
                <w:rFonts w:ascii="Segoe UI" w:eastAsia="Times New Roman" w:hAnsi="Segoe UI" w:cs="Segoe UI"/>
                <w:sz w:val="18"/>
                <w:szCs w:val="18"/>
              </w:rPr>
            </w:pPr>
            <w:r w:rsidRPr="004C422A">
              <w:rPr>
                <w:rFonts w:eastAsia="Times New Roman"/>
              </w:rPr>
              <w:t>This report also features the ability to export to PDF, excel or RTF. </w:t>
            </w:r>
          </w:p>
        </w:tc>
      </w:tr>
      <w:tr w:rsidR="004C422A" w:rsidRPr="004C422A" w14:paraId="7F56A9B1" w14:textId="77777777" w:rsidTr="004C422A">
        <w:tc>
          <w:tcPr>
            <w:tcW w:w="10987" w:type="dxa"/>
            <w:tcBorders>
              <w:top w:val="nil"/>
              <w:left w:val="single" w:sz="6" w:space="0" w:color="auto"/>
              <w:bottom w:val="single" w:sz="6" w:space="0" w:color="auto"/>
              <w:right w:val="single" w:sz="6" w:space="0" w:color="auto"/>
            </w:tcBorders>
            <w:shd w:val="clear" w:color="auto" w:fill="auto"/>
            <w:hideMark/>
          </w:tcPr>
          <w:p w14:paraId="404DAF9B" w14:textId="77777777" w:rsidR="004C422A" w:rsidRPr="004C422A" w:rsidRDefault="004C422A" w:rsidP="004C422A">
            <w:pPr>
              <w:spacing w:after="0" w:line="240" w:lineRule="auto"/>
              <w:textAlignment w:val="baseline"/>
              <w:rPr>
                <w:rFonts w:ascii="Segoe UI" w:eastAsia="Times New Roman" w:hAnsi="Segoe UI" w:cs="Segoe UI"/>
                <w:sz w:val="18"/>
                <w:szCs w:val="18"/>
              </w:rPr>
            </w:pPr>
            <w:r w:rsidRPr="004C422A">
              <w:rPr>
                <w:rFonts w:eastAsia="Times New Roman"/>
              </w:rPr>
              <w:t>If you export as an example to PDF, the PDF appears on the next tab, so you can easily navigate back to the report via the tabs at the top. </w:t>
            </w:r>
          </w:p>
        </w:tc>
      </w:tr>
      <w:tr w:rsidR="004C422A" w:rsidRPr="004C422A" w14:paraId="62F8E7FE" w14:textId="77777777" w:rsidTr="004C422A">
        <w:tc>
          <w:tcPr>
            <w:tcW w:w="10987" w:type="dxa"/>
            <w:tcBorders>
              <w:top w:val="nil"/>
              <w:left w:val="single" w:sz="6" w:space="0" w:color="auto"/>
              <w:bottom w:val="single" w:sz="6" w:space="0" w:color="auto"/>
              <w:right w:val="single" w:sz="6" w:space="0" w:color="auto"/>
            </w:tcBorders>
            <w:shd w:val="clear" w:color="auto" w:fill="auto"/>
            <w:hideMark/>
          </w:tcPr>
          <w:p w14:paraId="3AB8EA15" w14:textId="77777777" w:rsidR="004C422A" w:rsidRPr="004C422A" w:rsidRDefault="004C422A" w:rsidP="004C422A">
            <w:pPr>
              <w:spacing w:after="0" w:line="240" w:lineRule="auto"/>
              <w:textAlignment w:val="baseline"/>
              <w:rPr>
                <w:rFonts w:ascii="Segoe UI" w:eastAsia="Times New Roman" w:hAnsi="Segoe UI" w:cs="Segoe UI"/>
                <w:sz w:val="18"/>
                <w:szCs w:val="18"/>
              </w:rPr>
            </w:pPr>
            <w:r w:rsidRPr="004C422A">
              <w:rPr>
                <w:rFonts w:eastAsia="Times New Roman"/>
              </w:rPr>
              <w:t>Through this Core Concept </w:t>
            </w:r>
            <w:proofErr w:type="gramStart"/>
            <w:r w:rsidRPr="004C422A">
              <w:rPr>
                <w:rFonts w:eastAsia="Times New Roman"/>
              </w:rPr>
              <w:t>video</w:t>
            </w:r>
            <w:proofErr w:type="gramEnd"/>
            <w:r w:rsidRPr="004C422A">
              <w:rPr>
                <w:rFonts w:eastAsia="Times New Roman"/>
              </w:rPr>
              <w:t> you’ve learned about the opportunity scoring report.  Should you have additional questions, please reference our support site.  Thank you! </w:t>
            </w:r>
          </w:p>
        </w:tc>
      </w:tr>
    </w:tbl>
    <w:p w14:paraId="7556EAE9" w14:textId="77777777" w:rsidR="004C422A" w:rsidRDefault="004C422A" w:rsidP="004C422A">
      <w:pPr>
        <w:jc w:val="center"/>
        <w:rPr>
          <w:b/>
          <w:bCs/>
          <w:u w:val="single"/>
        </w:rPr>
      </w:pPr>
    </w:p>
    <w:sectPr w:rsidR="004C422A"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3E0F8E" w14:textId="77777777" w:rsidR="00743F89" w:rsidRDefault="00743F89" w:rsidP="00000B0B">
      <w:pPr>
        <w:spacing w:after="0" w:line="240" w:lineRule="auto"/>
      </w:pPr>
      <w:r>
        <w:separator/>
      </w:r>
    </w:p>
  </w:endnote>
  <w:endnote w:type="continuationSeparator" w:id="0">
    <w:p w14:paraId="21DD264D" w14:textId="77777777" w:rsidR="00743F89" w:rsidRDefault="00743F89"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80D1D" w14:textId="77777777" w:rsidR="00743F89" w:rsidRDefault="00743F89" w:rsidP="00000B0B">
      <w:pPr>
        <w:spacing w:after="0" w:line="240" w:lineRule="auto"/>
      </w:pPr>
      <w:r>
        <w:separator/>
      </w:r>
    </w:p>
  </w:footnote>
  <w:footnote w:type="continuationSeparator" w:id="0">
    <w:p w14:paraId="7D03554C" w14:textId="77777777" w:rsidR="00743F89" w:rsidRDefault="00743F89"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4C422A"/>
    <w:rsid w:val="005002E5"/>
    <w:rsid w:val="0053276B"/>
    <w:rsid w:val="005361A4"/>
    <w:rsid w:val="00576382"/>
    <w:rsid w:val="00596189"/>
    <w:rsid w:val="005A1BAC"/>
    <w:rsid w:val="005C1160"/>
    <w:rsid w:val="005F348D"/>
    <w:rsid w:val="00622E43"/>
    <w:rsid w:val="00623DA9"/>
    <w:rsid w:val="006628F3"/>
    <w:rsid w:val="00733F22"/>
    <w:rsid w:val="00743F89"/>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4C422A"/>
  </w:style>
  <w:style w:type="paragraph" w:customStyle="1" w:styleId="paragraph">
    <w:name w:val="paragraph"/>
    <w:basedOn w:val="Normal"/>
    <w:rsid w:val="004C42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C4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9393339">
      <w:bodyDiv w:val="1"/>
      <w:marLeft w:val="0"/>
      <w:marRight w:val="0"/>
      <w:marTop w:val="0"/>
      <w:marBottom w:val="0"/>
      <w:divBdr>
        <w:top w:val="none" w:sz="0" w:space="0" w:color="auto"/>
        <w:left w:val="none" w:sz="0" w:space="0" w:color="auto"/>
        <w:bottom w:val="none" w:sz="0" w:space="0" w:color="auto"/>
        <w:right w:val="none" w:sz="0" w:space="0" w:color="auto"/>
      </w:divBdr>
      <w:divsChild>
        <w:div w:id="966742654">
          <w:marLeft w:val="0"/>
          <w:marRight w:val="0"/>
          <w:marTop w:val="0"/>
          <w:marBottom w:val="0"/>
          <w:divBdr>
            <w:top w:val="none" w:sz="0" w:space="0" w:color="auto"/>
            <w:left w:val="none" w:sz="0" w:space="0" w:color="auto"/>
            <w:bottom w:val="none" w:sz="0" w:space="0" w:color="auto"/>
            <w:right w:val="none" w:sz="0" w:space="0" w:color="auto"/>
          </w:divBdr>
          <w:divsChild>
            <w:div w:id="1975597789">
              <w:marLeft w:val="0"/>
              <w:marRight w:val="0"/>
              <w:marTop w:val="0"/>
              <w:marBottom w:val="0"/>
              <w:divBdr>
                <w:top w:val="none" w:sz="0" w:space="0" w:color="auto"/>
                <w:left w:val="none" w:sz="0" w:space="0" w:color="auto"/>
                <w:bottom w:val="none" w:sz="0" w:space="0" w:color="auto"/>
                <w:right w:val="none" w:sz="0" w:space="0" w:color="auto"/>
              </w:divBdr>
            </w:div>
          </w:divsChild>
        </w:div>
        <w:div w:id="1365249421">
          <w:marLeft w:val="0"/>
          <w:marRight w:val="0"/>
          <w:marTop w:val="0"/>
          <w:marBottom w:val="0"/>
          <w:divBdr>
            <w:top w:val="none" w:sz="0" w:space="0" w:color="auto"/>
            <w:left w:val="none" w:sz="0" w:space="0" w:color="auto"/>
            <w:bottom w:val="none" w:sz="0" w:space="0" w:color="auto"/>
            <w:right w:val="none" w:sz="0" w:space="0" w:color="auto"/>
          </w:divBdr>
          <w:divsChild>
            <w:div w:id="1124808026">
              <w:marLeft w:val="0"/>
              <w:marRight w:val="0"/>
              <w:marTop w:val="0"/>
              <w:marBottom w:val="0"/>
              <w:divBdr>
                <w:top w:val="none" w:sz="0" w:space="0" w:color="auto"/>
                <w:left w:val="none" w:sz="0" w:space="0" w:color="auto"/>
                <w:bottom w:val="none" w:sz="0" w:space="0" w:color="auto"/>
                <w:right w:val="none" w:sz="0" w:space="0" w:color="auto"/>
              </w:divBdr>
            </w:div>
          </w:divsChild>
        </w:div>
        <w:div w:id="1702433306">
          <w:marLeft w:val="0"/>
          <w:marRight w:val="0"/>
          <w:marTop w:val="0"/>
          <w:marBottom w:val="0"/>
          <w:divBdr>
            <w:top w:val="none" w:sz="0" w:space="0" w:color="auto"/>
            <w:left w:val="none" w:sz="0" w:space="0" w:color="auto"/>
            <w:bottom w:val="none" w:sz="0" w:space="0" w:color="auto"/>
            <w:right w:val="none" w:sz="0" w:space="0" w:color="auto"/>
          </w:divBdr>
          <w:divsChild>
            <w:div w:id="1651015465">
              <w:marLeft w:val="0"/>
              <w:marRight w:val="0"/>
              <w:marTop w:val="0"/>
              <w:marBottom w:val="0"/>
              <w:divBdr>
                <w:top w:val="none" w:sz="0" w:space="0" w:color="auto"/>
                <w:left w:val="none" w:sz="0" w:space="0" w:color="auto"/>
                <w:bottom w:val="none" w:sz="0" w:space="0" w:color="auto"/>
                <w:right w:val="none" w:sz="0" w:space="0" w:color="auto"/>
              </w:divBdr>
            </w:div>
          </w:divsChild>
        </w:div>
        <w:div w:id="801315684">
          <w:marLeft w:val="0"/>
          <w:marRight w:val="0"/>
          <w:marTop w:val="0"/>
          <w:marBottom w:val="0"/>
          <w:divBdr>
            <w:top w:val="none" w:sz="0" w:space="0" w:color="auto"/>
            <w:left w:val="none" w:sz="0" w:space="0" w:color="auto"/>
            <w:bottom w:val="none" w:sz="0" w:space="0" w:color="auto"/>
            <w:right w:val="none" w:sz="0" w:space="0" w:color="auto"/>
          </w:divBdr>
          <w:divsChild>
            <w:div w:id="1853952770">
              <w:marLeft w:val="0"/>
              <w:marRight w:val="0"/>
              <w:marTop w:val="0"/>
              <w:marBottom w:val="0"/>
              <w:divBdr>
                <w:top w:val="none" w:sz="0" w:space="0" w:color="auto"/>
                <w:left w:val="none" w:sz="0" w:space="0" w:color="auto"/>
                <w:bottom w:val="none" w:sz="0" w:space="0" w:color="auto"/>
                <w:right w:val="none" w:sz="0" w:space="0" w:color="auto"/>
              </w:divBdr>
            </w:div>
          </w:divsChild>
        </w:div>
        <w:div w:id="1236161297">
          <w:marLeft w:val="0"/>
          <w:marRight w:val="0"/>
          <w:marTop w:val="0"/>
          <w:marBottom w:val="0"/>
          <w:divBdr>
            <w:top w:val="none" w:sz="0" w:space="0" w:color="auto"/>
            <w:left w:val="none" w:sz="0" w:space="0" w:color="auto"/>
            <w:bottom w:val="none" w:sz="0" w:space="0" w:color="auto"/>
            <w:right w:val="none" w:sz="0" w:space="0" w:color="auto"/>
          </w:divBdr>
          <w:divsChild>
            <w:div w:id="1333869430">
              <w:marLeft w:val="0"/>
              <w:marRight w:val="0"/>
              <w:marTop w:val="0"/>
              <w:marBottom w:val="0"/>
              <w:divBdr>
                <w:top w:val="none" w:sz="0" w:space="0" w:color="auto"/>
                <w:left w:val="none" w:sz="0" w:space="0" w:color="auto"/>
                <w:bottom w:val="none" w:sz="0" w:space="0" w:color="auto"/>
                <w:right w:val="none" w:sz="0" w:space="0" w:color="auto"/>
              </w:divBdr>
            </w:div>
          </w:divsChild>
        </w:div>
        <w:div w:id="1033653669">
          <w:marLeft w:val="0"/>
          <w:marRight w:val="0"/>
          <w:marTop w:val="0"/>
          <w:marBottom w:val="0"/>
          <w:divBdr>
            <w:top w:val="none" w:sz="0" w:space="0" w:color="auto"/>
            <w:left w:val="none" w:sz="0" w:space="0" w:color="auto"/>
            <w:bottom w:val="none" w:sz="0" w:space="0" w:color="auto"/>
            <w:right w:val="none" w:sz="0" w:space="0" w:color="auto"/>
          </w:divBdr>
          <w:divsChild>
            <w:div w:id="1432121387">
              <w:marLeft w:val="0"/>
              <w:marRight w:val="0"/>
              <w:marTop w:val="0"/>
              <w:marBottom w:val="0"/>
              <w:divBdr>
                <w:top w:val="none" w:sz="0" w:space="0" w:color="auto"/>
                <w:left w:val="none" w:sz="0" w:space="0" w:color="auto"/>
                <w:bottom w:val="none" w:sz="0" w:space="0" w:color="auto"/>
                <w:right w:val="none" w:sz="0" w:space="0" w:color="auto"/>
              </w:divBdr>
            </w:div>
          </w:divsChild>
        </w:div>
        <w:div w:id="2106143501">
          <w:marLeft w:val="0"/>
          <w:marRight w:val="0"/>
          <w:marTop w:val="0"/>
          <w:marBottom w:val="0"/>
          <w:divBdr>
            <w:top w:val="none" w:sz="0" w:space="0" w:color="auto"/>
            <w:left w:val="none" w:sz="0" w:space="0" w:color="auto"/>
            <w:bottom w:val="none" w:sz="0" w:space="0" w:color="auto"/>
            <w:right w:val="none" w:sz="0" w:space="0" w:color="auto"/>
          </w:divBdr>
          <w:divsChild>
            <w:div w:id="1490706112">
              <w:marLeft w:val="0"/>
              <w:marRight w:val="0"/>
              <w:marTop w:val="0"/>
              <w:marBottom w:val="0"/>
              <w:divBdr>
                <w:top w:val="none" w:sz="0" w:space="0" w:color="auto"/>
                <w:left w:val="none" w:sz="0" w:space="0" w:color="auto"/>
                <w:bottom w:val="none" w:sz="0" w:space="0" w:color="auto"/>
                <w:right w:val="none" w:sz="0" w:space="0" w:color="auto"/>
              </w:divBdr>
            </w:div>
          </w:divsChild>
        </w:div>
        <w:div w:id="1013070125">
          <w:marLeft w:val="0"/>
          <w:marRight w:val="0"/>
          <w:marTop w:val="0"/>
          <w:marBottom w:val="0"/>
          <w:divBdr>
            <w:top w:val="none" w:sz="0" w:space="0" w:color="auto"/>
            <w:left w:val="none" w:sz="0" w:space="0" w:color="auto"/>
            <w:bottom w:val="none" w:sz="0" w:space="0" w:color="auto"/>
            <w:right w:val="none" w:sz="0" w:space="0" w:color="auto"/>
          </w:divBdr>
          <w:divsChild>
            <w:div w:id="48463809">
              <w:marLeft w:val="0"/>
              <w:marRight w:val="0"/>
              <w:marTop w:val="0"/>
              <w:marBottom w:val="0"/>
              <w:divBdr>
                <w:top w:val="none" w:sz="0" w:space="0" w:color="auto"/>
                <w:left w:val="none" w:sz="0" w:space="0" w:color="auto"/>
                <w:bottom w:val="none" w:sz="0" w:space="0" w:color="auto"/>
                <w:right w:val="none" w:sz="0" w:space="0" w:color="auto"/>
              </w:divBdr>
            </w:div>
          </w:divsChild>
        </w:div>
        <w:div w:id="2123962145">
          <w:marLeft w:val="0"/>
          <w:marRight w:val="0"/>
          <w:marTop w:val="0"/>
          <w:marBottom w:val="0"/>
          <w:divBdr>
            <w:top w:val="none" w:sz="0" w:space="0" w:color="auto"/>
            <w:left w:val="none" w:sz="0" w:space="0" w:color="auto"/>
            <w:bottom w:val="none" w:sz="0" w:space="0" w:color="auto"/>
            <w:right w:val="none" w:sz="0" w:space="0" w:color="auto"/>
          </w:divBdr>
          <w:divsChild>
            <w:div w:id="310671795">
              <w:marLeft w:val="0"/>
              <w:marRight w:val="0"/>
              <w:marTop w:val="0"/>
              <w:marBottom w:val="0"/>
              <w:divBdr>
                <w:top w:val="none" w:sz="0" w:space="0" w:color="auto"/>
                <w:left w:val="none" w:sz="0" w:space="0" w:color="auto"/>
                <w:bottom w:val="none" w:sz="0" w:space="0" w:color="auto"/>
                <w:right w:val="none" w:sz="0" w:space="0" w:color="auto"/>
              </w:divBdr>
            </w:div>
          </w:divsChild>
        </w:div>
        <w:div w:id="277641373">
          <w:marLeft w:val="0"/>
          <w:marRight w:val="0"/>
          <w:marTop w:val="0"/>
          <w:marBottom w:val="0"/>
          <w:divBdr>
            <w:top w:val="none" w:sz="0" w:space="0" w:color="auto"/>
            <w:left w:val="none" w:sz="0" w:space="0" w:color="auto"/>
            <w:bottom w:val="none" w:sz="0" w:space="0" w:color="auto"/>
            <w:right w:val="none" w:sz="0" w:space="0" w:color="auto"/>
          </w:divBdr>
          <w:divsChild>
            <w:div w:id="1320579307">
              <w:marLeft w:val="0"/>
              <w:marRight w:val="0"/>
              <w:marTop w:val="0"/>
              <w:marBottom w:val="0"/>
              <w:divBdr>
                <w:top w:val="none" w:sz="0" w:space="0" w:color="auto"/>
                <w:left w:val="none" w:sz="0" w:space="0" w:color="auto"/>
                <w:bottom w:val="none" w:sz="0" w:space="0" w:color="auto"/>
                <w:right w:val="none" w:sz="0" w:space="0" w:color="auto"/>
              </w:divBdr>
            </w:div>
          </w:divsChild>
        </w:div>
        <w:div w:id="1209293196">
          <w:marLeft w:val="0"/>
          <w:marRight w:val="0"/>
          <w:marTop w:val="0"/>
          <w:marBottom w:val="0"/>
          <w:divBdr>
            <w:top w:val="none" w:sz="0" w:space="0" w:color="auto"/>
            <w:left w:val="none" w:sz="0" w:space="0" w:color="auto"/>
            <w:bottom w:val="none" w:sz="0" w:space="0" w:color="auto"/>
            <w:right w:val="none" w:sz="0" w:space="0" w:color="auto"/>
          </w:divBdr>
          <w:divsChild>
            <w:div w:id="1182089509">
              <w:marLeft w:val="0"/>
              <w:marRight w:val="0"/>
              <w:marTop w:val="0"/>
              <w:marBottom w:val="0"/>
              <w:divBdr>
                <w:top w:val="none" w:sz="0" w:space="0" w:color="auto"/>
                <w:left w:val="none" w:sz="0" w:space="0" w:color="auto"/>
                <w:bottom w:val="none" w:sz="0" w:space="0" w:color="auto"/>
                <w:right w:val="none" w:sz="0" w:space="0" w:color="auto"/>
              </w:divBdr>
            </w:div>
          </w:divsChild>
        </w:div>
        <w:div w:id="16195846">
          <w:marLeft w:val="0"/>
          <w:marRight w:val="0"/>
          <w:marTop w:val="0"/>
          <w:marBottom w:val="0"/>
          <w:divBdr>
            <w:top w:val="none" w:sz="0" w:space="0" w:color="auto"/>
            <w:left w:val="none" w:sz="0" w:space="0" w:color="auto"/>
            <w:bottom w:val="none" w:sz="0" w:space="0" w:color="auto"/>
            <w:right w:val="none" w:sz="0" w:space="0" w:color="auto"/>
          </w:divBdr>
          <w:divsChild>
            <w:div w:id="1712683093">
              <w:marLeft w:val="0"/>
              <w:marRight w:val="0"/>
              <w:marTop w:val="0"/>
              <w:marBottom w:val="0"/>
              <w:divBdr>
                <w:top w:val="none" w:sz="0" w:space="0" w:color="auto"/>
                <w:left w:val="none" w:sz="0" w:space="0" w:color="auto"/>
                <w:bottom w:val="none" w:sz="0" w:space="0" w:color="auto"/>
                <w:right w:val="none" w:sz="0" w:space="0" w:color="auto"/>
              </w:divBdr>
            </w:div>
          </w:divsChild>
        </w:div>
        <w:div w:id="172914538">
          <w:marLeft w:val="0"/>
          <w:marRight w:val="0"/>
          <w:marTop w:val="0"/>
          <w:marBottom w:val="0"/>
          <w:divBdr>
            <w:top w:val="none" w:sz="0" w:space="0" w:color="auto"/>
            <w:left w:val="none" w:sz="0" w:space="0" w:color="auto"/>
            <w:bottom w:val="none" w:sz="0" w:space="0" w:color="auto"/>
            <w:right w:val="none" w:sz="0" w:space="0" w:color="auto"/>
          </w:divBdr>
          <w:divsChild>
            <w:div w:id="184231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46RQJNK23EVN-1337156804-40272</_dlc_DocId>
    <_dlc_DocIdUrl xmlns="83fd7b6e-5f23-487e-aad6-cb3ca280b681">
      <Url>https://streamlinksoftware.sharepoint.com/sites/StreamLinkSoftwareCloudDrive/_layouts/15/DocIdRedir.aspx?ID=46RQJNK23EVN-1337156804-40272</Url>
      <Description>46RQJNK23EVN-1337156804-40272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2</cp:revision>
  <dcterms:created xsi:type="dcterms:W3CDTF">2020-10-26T19:57:00Z</dcterms:created>
  <dcterms:modified xsi:type="dcterms:W3CDTF">2020-10-26T19:57:00Z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50bbd178-43ee-4ec2-a30a-f5c6314194b3</vt:lpwstr>
  </property>
</Properties>
</file>